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C638E3">
        <w:rPr>
          <w:b/>
          <w:bCs/>
          <w:color w:val="000000"/>
        </w:rPr>
        <w:t>7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C638E3">
        <w:rPr>
          <w:b/>
          <w:bCs/>
          <w:color w:val="000000"/>
          <w:sz w:val="28"/>
          <w:szCs w:val="28"/>
        </w:rPr>
        <w:t>7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F0638C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EKG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3</w:t>
            </w:r>
            <w:r w:rsidR="00803887">
              <w:rPr>
                <w:b/>
                <w:bCs/>
                <w:color w:val="000000"/>
              </w:rPr>
              <w:t xml:space="preserve">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1559"/>
        <w:gridCol w:w="1434"/>
        <w:gridCol w:w="1760"/>
        <w:gridCol w:w="2050"/>
      </w:tblGrid>
      <w:tr w:rsidR="00844DE6" w:rsidRPr="009553E8" w:rsidTr="00844DE6">
        <w:trPr>
          <w:trHeight w:val="9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E6" w:rsidRPr="009553E8" w:rsidRDefault="00844DE6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E6" w:rsidRPr="009553E8" w:rsidRDefault="00844DE6" w:rsidP="00FC668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DE6" w:rsidRPr="009553E8" w:rsidRDefault="00844DE6" w:rsidP="00FC668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DE6" w:rsidRPr="009553E8" w:rsidRDefault="00844DE6" w:rsidP="00FC668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DE6" w:rsidRDefault="00844DE6" w:rsidP="00844DE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844DE6" w:rsidRDefault="00844DE6" w:rsidP="00844DE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844DE6" w:rsidRPr="009553E8" w:rsidRDefault="00844DE6" w:rsidP="00844DE6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844DE6" w:rsidRPr="009553E8" w:rsidTr="00844DE6">
        <w:trPr>
          <w:trHeight w:val="60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</w:t>
            </w: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DE6" w:rsidRPr="009553E8" w:rsidRDefault="00844DE6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7B381E" w:rsidRDefault="00D95F37" w:rsidP="00D95F37">
            <w:pPr>
              <w:rPr>
                <w:color w:val="000000"/>
                <w:sz w:val="20"/>
                <w:szCs w:val="20"/>
              </w:rPr>
            </w:pPr>
            <w:r w:rsidRPr="007B381E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7B381E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814F2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Urządzenie z automatyczną analizą i interpretacją zgodna z EN 60601-2-51 (baza CSE) - wyniki analizy i interpretacji zależne od wieku i płci pacjenta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814F2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Prezentacja na wyświetlaczu 1, 3, 6 lub 12 przebiegów EKG, wyników analizy    i interpretacji, badań zapisanych w pamięci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814F2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Rejestracja 12 standardowych </w:t>
            </w:r>
            <w:proofErr w:type="spellStart"/>
            <w:r w:rsidRPr="007B381E">
              <w:rPr>
                <w:sz w:val="20"/>
                <w:szCs w:val="20"/>
              </w:rPr>
              <w:t>odprowadzeń</w:t>
            </w:r>
            <w:proofErr w:type="spellEnd"/>
            <w:r w:rsidRPr="007B381E">
              <w:rPr>
                <w:sz w:val="20"/>
                <w:szCs w:val="20"/>
              </w:rPr>
              <w:t xml:space="preserve"> EKG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814F2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Wydruk w trybie 1, 3, 6 lub 12 przebiegów EKG. Drukowanie wybranej grupy: 1 kanał,   3 kanały w układzie standardowym, 3 kanały w układzie Cabrera, 6 kanałów w układzie   standardowym, 6 kanałów w układzie Cabrera, 12 kanałów w układzie standardowym,   12 kanałów w układzie Cabrera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Możliwe rodzaje badań: ręczne, AUTO, SPIRO, automatyczne do schowka,    AUTOMANUAL, LONG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Zapis automatyczny z funkcją zapisu “do schowka” sygnału EKG ze wszystkich   12 </w:t>
            </w:r>
            <w:proofErr w:type="spellStart"/>
            <w:r w:rsidRPr="007B381E">
              <w:rPr>
                <w:sz w:val="20"/>
                <w:szCs w:val="20"/>
              </w:rPr>
              <w:t>odprowadzeń</w:t>
            </w:r>
            <w:proofErr w:type="spellEnd"/>
            <w:r w:rsidRPr="007B381E">
              <w:rPr>
                <w:sz w:val="20"/>
                <w:szCs w:val="20"/>
              </w:rPr>
              <w:t xml:space="preserve"> jednocześnie, a następnie w zależności od ustawień: wydrukowanie   badania, analizy, interpretacji lub zapisanie badania do bazy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Regulowana długość zapisu badania automatycznego –  do 30 sekund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Zapis wsteczny przy badaniu automatycznym do schowka i przy badaniu ręcznym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Wydruk rytmu przy badaniu AUTO i badaniu automatycznym do schowka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Definiowalne etapy badania według ustalonych parametrów przy badaniu AUTOMANUAL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Zapis badania do pamięci od 1 minuty do 15 minut w trybie LONG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Wydruk na drukarce aparatu lub zewnętrznej drukarce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Wydruk z bazy pacjentów. Możliwość wydruku dodatkowych informacji o badaniu i pacjencie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Klawiatura membranowa alfanumeryczna z przyciskami funkcyjnymi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Możliwość ustawienia parametrów przebiegów: prędkości, czułości i intensywności wydruku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Panel dotykowy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Przeglądanie na wyświetlaczu zapisanych w pamięci badań, z możliwością zmiany   ilości </w:t>
            </w:r>
            <w:proofErr w:type="spellStart"/>
            <w:r w:rsidRPr="007B381E">
              <w:rPr>
                <w:sz w:val="20"/>
                <w:szCs w:val="20"/>
              </w:rPr>
              <w:t>odprowadzeń</w:t>
            </w:r>
            <w:proofErr w:type="spellEnd"/>
            <w:r w:rsidRPr="007B381E">
              <w:rPr>
                <w:sz w:val="20"/>
                <w:szCs w:val="20"/>
              </w:rPr>
              <w:t>, wzmocnienia i prędkości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Baza pacjentów badań. Pamięć do 500 pacjentów lub 500 badań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Przeglądanie na wyświetlaczu zapisanych w pamięci badań, z możliwością zmiany   ilości </w:t>
            </w:r>
            <w:proofErr w:type="spellStart"/>
            <w:r w:rsidRPr="007B381E">
              <w:rPr>
                <w:sz w:val="20"/>
                <w:szCs w:val="20"/>
              </w:rPr>
              <w:t>odprowadzeń</w:t>
            </w:r>
            <w:proofErr w:type="spellEnd"/>
            <w:r w:rsidRPr="007B381E">
              <w:rPr>
                <w:sz w:val="20"/>
                <w:szCs w:val="20"/>
              </w:rPr>
              <w:t>, wzmocnienia i prędkości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Automatyczna analiza i interpretacja zgodna z EN 60601-2-51 (baza CSE) - wyniki   analizy i interpretacji zależne od wieku i płci pacjenta, detekcja </w:t>
            </w:r>
            <w:proofErr w:type="spellStart"/>
            <w:r w:rsidRPr="007B381E">
              <w:rPr>
                <w:sz w:val="20"/>
                <w:szCs w:val="20"/>
              </w:rPr>
              <w:t>arytmi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7F07AE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Wykonanie min. 100 badań automatycznych w trybie pracy akumulatorowej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7F07AE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Ciągły pomiar częstości akcji serca (HR) i jego prezentacja na wyświetlaczu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7F07AE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Możliwość włączania i wyłączania filtrów: filtr zakłóceń sieciowych: 50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60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; filtr   zakłóceń mięśniowych: 25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35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45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; filtr izolinii: 0,15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0,45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0,75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   1,5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; filtr dolnoprzepustowy: 75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100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125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, 150 </w:t>
            </w:r>
            <w:proofErr w:type="spellStart"/>
            <w:r w:rsidRPr="007B381E">
              <w:rPr>
                <w:sz w:val="20"/>
                <w:szCs w:val="20"/>
              </w:rPr>
              <w:t>Hz</w:t>
            </w:r>
            <w:proofErr w:type="spellEnd"/>
            <w:r w:rsidRPr="007B381E">
              <w:rPr>
                <w:sz w:val="20"/>
                <w:szCs w:val="20"/>
              </w:rPr>
              <w:t xml:space="preserve">;   filtr </w:t>
            </w:r>
            <w:proofErr w:type="spellStart"/>
            <w:r w:rsidRPr="007B381E">
              <w:rPr>
                <w:sz w:val="20"/>
                <w:szCs w:val="20"/>
              </w:rPr>
              <w:t>autoadaptacyjny</w:t>
            </w:r>
            <w:proofErr w:type="spellEnd"/>
            <w:r w:rsidRPr="007B38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7F07AE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lastRenderedPageBreak/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Detekcja INOP odpięcia elektrody niezależna dla każdego kanału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Wykrywanie i prezentacja impulsów stymulujących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Dźwiękowa sygnalizacja wykrytych </w:t>
            </w:r>
            <w:proofErr w:type="spellStart"/>
            <w:r w:rsidRPr="007B381E">
              <w:rPr>
                <w:sz w:val="20"/>
                <w:szCs w:val="20"/>
              </w:rPr>
              <w:t>pobudzeń</w:t>
            </w:r>
            <w:proofErr w:type="spellEnd"/>
            <w:r w:rsidRPr="007B381E">
              <w:rPr>
                <w:sz w:val="20"/>
                <w:szCs w:val="20"/>
              </w:rPr>
              <w:t xml:space="preserve"> stymulatora serca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Zabezpieczenie przed impulsem defibrylującym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Eksport badań do pamięci USB, na skrzynkę e-mail lub na inny aparat za pomocą    usługi EKG-MAIL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Bezprzewodowa komunikacja z siecią LAN lub </w:t>
            </w:r>
            <w:proofErr w:type="spellStart"/>
            <w:r w:rsidRPr="007B381E">
              <w:rPr>
                <w:sz w:val="20"/>
                <w:szCs w:val="20"/>
              </w:rPr>
              <w:t>internet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Współpraca z oprogramowaniem </w:t>
            </w:r>
            <w:proofErr w:type="spellStart"/>
            <w:r w:rsidRPr="007B381E">
              <w:rPr>
                <w:sz w:val="20"/>
                <w:szCs w:val="20"/>
              </w:rPr>
              <w:t>CardioTEKA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Możliwość przyjmowania zleceń na wykonanie badania i odsyłania wyników w standardzie   HL7 poprzez sieć </w:t>
            </w:r>
            <w:proofErr w:type="spellStart"/>
            <w:r w:rsidRPr="007B381E">
              <w:rPr>
                <w:sz w:val="20"/>
                <w:szCs w:val="20"/>
              </w:rPr>
              <w:t>internet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Wykonywanie spirometrycznego badania przesiewowego przy użyciu przystawki SPIRO-31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EDM - archiwizacja badań za dany okres na zewnętrznym nośniku (pamięć USB)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Zasilanie: zewnętrzne i wewnętrzne - akumulator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Czułość: 2,5/5/10/20 mm/</w:t>
            </w:r>
            <w:proofErr w:type="spellStart"/>
            <w:r w:rsidRPr="007B381E">
              <w:rPr>
                <w:sz w:val="20"/>
                <w:szCs w:val="20"/>
              </w:rPr>
              <w:t>mV</w:t>
            </w:r>
            <w:proofErr w:type="spellEnd"/>
            <w:r w:rsidRPr="007B381E">
              <w:rPr>
                <w:sz w:val="20"/>
                <w:szCs w:val="20"/>
              </w:rPr>
              <w:t xml:space="preserve"> +/- 5%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Prędkość zapisu: 5/6,25/10/12,5/25/50 mm/s +/- 5%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Proste zakładanie papieru (</w:t>
            </w:r>
            <w:proofErr w:type="spellStart"/>
            <w:r w:rsidRPr="007B381E">
              <w:rPr>
                <w:sz w:val="20"/>
                <w:szCs w:val="20"/>
              </w:rPr>
              <w:t>Easy</w:t>
            </w:r>
            <w:proofErr w:type="spellEnd"/>
            <w:r w:rsidRPr="007B381E">
              <w:rPr>
                <w:sz w:val="20"/>
                <w:szCs w:val="20"/>
              </w:rPr>
              <w:t xml:space="preserve"> </w:t>
            </w:r>
            <w:proofErr w:type="spellStart"/>
            <w:r w:rsidRPr="007B381E">
              <w:rPr>
                <w:sz w:val="20"/>
                <w:szCs w:val="20"/>
              </w:rPr>
              <w:t>load</w:t>
            </w:r>
            <w:proofErr w:type="spellEnd"/>
            <w:r w:rsidRPr="007B381E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 xml:space="preserve">Papier </w:t>
            </w:r>
            <w:proofErr w:type="spellStart"/>
            <w:r w:rsidRPr="007B381E">
              <w:rPr>
                <w:sz w:val="20"/>
                <w:szCs w:val="20"/>
              </w:rPr>
              <w:t>termoczuły</w:t>
            </w:r>
            <w:proofErr w:type="spellEnd"/>
            <w:r w:rsidRPr="007B381E">
              <w:rPr>
                <w:sz w:val="20"/>
                <w:szCs w:val="20"/>
              </w:rPr>
              <w:t>, bezpyłowy</w:t>
            </w:r>
          </w:p>
          <w:p w:rsidR="00AE1A3E" w:rsidRPr="007B381E" w:rsidRDefault="00AE1A3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(min szerokość papieru 210 mm)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Wyświetlacz LCD: kolorowy TFT 7”, podświetlanie (LED), 800x480 z panelem dotykowym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Elektrody kończynowe - 20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Elektrody przedsercowe - 30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Kabel pacjenta EKG - 1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Kabel zasilania sieciowego - 1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Papier 5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B381E" w:rsidRPr="000A45D2" w:rsidTr="00240A09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B381E" w:rsidRDefault="007B381E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45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Pr="007B381E" w:rsidRDefault="007B381E" w:rsidP="00FC6686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7B381E">
              <w:rPr>
                <w:sz w:val="20"/>
                <w:szCs w:val="20"/>
              </w:rPr>
              <w:t>Instrukcja użytkowania - 1 szt.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B381E" w:rsidRDefault="007B381E" w:rsidP="007B381E">
            <w:pPr>
              <w:jc w:val="center"/>
            </w:pPr>
            <w:r w:rsidRPr="00C83F5C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381E" w:rsidRPr="00056EA4" w:rsidRDefault="007B381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C43AB4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43AB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50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C43AB4" w:rsidRDefault="00850D58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</w:t>
            </w:r>
            <w:r w:rsidR="004445FF" w:rsidRPr="00C43AB4">
              <w:rPr>
                <w:bCs/>
                <w:color w:val="000000" w:themeColor="text1"/>
                <w:sz w:val="20"/>
                <w:szCs w:val="20"/>
              </w:rPr>
              <w:t>iczba przeglądów u</w:t>
            </w:r>
            <w:r>
              <w:rPr>
                <w:bCs/>
                <w:color w:val="000000" w:themeColor="text1"/>
                <w:sz w:val="20"/>
                <w:szCs w:val="20"/>
              </w:rPr>
              <w:t>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50D58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 xml:space="preserve">Dokumenty upoważniające urządzenie do użytkowania na terenie Polski i UE wymagane obowiązującymi przepisami prawa w tym m. in: paszport (z wprowadzoną datą uruchomienia i datą następnego przeglądu </w:t>
            </w:r>
            <w:proofErr w:type="spellStart"/>
            <w:r w:rsidRPr="00C43AB4">
              <w:rPr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C43AB4">
              <w:rPr>
                <w:b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C43AB4">
              <w:rPr>
                <w:b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C43AB4">
              <w:rPr>
                <w:bCs/>
                <w:color w:val="000000" w:themeColor="text1"/>
                <w:sz w:val="20"/>
                <w:szCs w:val="20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826A9">
              <w:rPr>
                <w:bCs/>
                <w:color w:val="000000" w:themeColor="text1"/>
                <w:sz w:val="20"/>
                <w:szCs w:val="20"/>
              </w:rPr>
              <w:t>Mak</w:t>
            </w:r>
            <w:r w:rsidR="000826A9" w:rsidRPr="000826A9">
              <w:rPr>
                <w:bCs/>
                <w:color w:val="000000" w:themeColor="text1"/>
                <w:sz w:val="20"/>
                <w:szCs w:val="20"/>
              </w:rPr>
              <w:t>symalny czas usuwania awarii - 3 dni robocze</w:t>
            </w:r>
            <w:r w:rsidRPr="000826A9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7B381E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E87029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E87029">
              <w:rPr>
                <w:b/>
                <w:bCs/>
                <w:noProof/>
                <w:sz w:val="18"/>
                <w:szCs w:val="18"/>
              </w:rPr>
              <w:t>4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E87029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826A9"/>
    <w:rsid w:val="000A45D2"/>
    <w:rsid w:val="000E772C"/>
    <w:rsid w:val="00113218"/>
    <w:rsid w:val="001179DE"/>
    <w:rsid w:val="00125F08"/>
    <w:rsid w:val="001B7673"/>
    <w:rsid w:val="001E1B58"/>
    <w:rsid w:val="00202367"/>
    <w:rsid w:val="00216EB5"/>
    <w:rsid w:val="00235980"/>
    <w:rsid w:val="00245E58"/>
    <w:rsid w:val="00263133"/>
    <w:rsid w:val="00271B6C"/>
    <w:rsid w:val="002929DD"/>
    <w:rsid w:val="002A49C8"/>
    <w:rsid w:val="002E3BDC"/>
    <w:rsid w:val="00307302"/>
    <w:rsid w:val="00316927"/>
    <w:rsid w:val="00327F3E"/>
    <w:rsid w:val="00333202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80811"/>
    <w:rsid w:val="007A0789"/>
    <w:rsid w:val="007A2099"/>
    <w:rsid w:val="007B381E"/>
    <w:rsid w:val="007C0EB2"/>
    <w:rsid w:val="007C6200"/>
    <w:rsid w:val="00803887"/>
    <w:rsid w:val="00814D5F"/>
    <w:rsid w:val="00833C63"/>
    <w:rsid w:val="008354CA"/>
    <w:rsid w:val="00844DE6"/>
    <w:rsid w:val="00850D58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07312"/>
    <w:rsid w:val="00A22560"/>
    <w:rsid w:val="00A264C7"/>
    <w:rsid w:val="00A97885"/>
    <w:rsid w:val="00AA7B4F"/>
    <w:rsid w:val="00AE1A3E"/>
    <w:rsid w:val="00B57A66"/>
    <w:rsid w:val="00B63C4E"/>
    <w:rsid w:val="00C43AB4"/>
    <w:rsid w:val="00C44B41"/>
    <w:rsid w:val="00C638E3"/>
    <w:rsid w:val="00C67F17"/>
    <w:rsid w:val="00C74BE7"/>
    <w:rsid w:val="00CC2F9C"/>
    <w:rsid w:val="00CE2D28"/>
    <w:rsid w:val="00CF619B"/>
    <w:rsid w:val="00D14EBD"/>
    <w:rsid w:val="00D45A93"/>
    <w:rsid w:val="00D95F37"/>
    <w:rsid w:val="00DC0587"/>
    <w:rsid w:val="00DF26D7"/>
    <w:rsid w:val="00E20A4E"/>
    <w:rsid w:val="00E7477F"/>
    <w:rsid w:val="00E87029"/>
    <w:rsid w:val="00EB7523"/>
    <w:rsid w:val="00EC585F"/>
    <w:rsid w:val="00EF00F1"/>
    <w:rsid w:val="00F0638C"/>
    <w:rsid w:val="00F22F80"/>
    <w:rsid w:val="00F2330B"/>
    <w:rsid w:val="00F664E7"/>
    <w:rsid w:val="00F82E1F"/>
    <w:rsid w:val="00F90856"/>
    <w:rsid w:val="00F9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  <w:style w:type="paragraph" w:styleId="Bezodstpw">
    <w:name w:val="No Spacing"/>
    <w:qFormat/>
    <w:rsid w:val="00216E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  <w:style w:type="paragraph" w:styleId="Bezodstpw">
    <w:name w:val="No Spacing"/>
    <w:qFormat/>
    <w:rsid w:val="00216E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953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7</cp:revision>
  <cp:lastPrinted>2022-08-26T10:44:00Z</cp:lastPrinted>
  <dcterms:created xsi:type="dcterms:W3CDTF">2022-08-24T13:03:00Z</dcterms:created>
  <dcterms:modified xsi:type="dcterms:W3CDTF">2022-08-26T11:07:00Z</dcterms:modified>
</cp:coreProperties>
</file>