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250652">
        <w:rPr>
          <w:b/>
          <w:bCs/>
          <w:color w:val="000000"/>
        </w:rPr>
        <w:t>2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250652">
        <w:rPr>
          <w:b/>
          <w:bCs/>
          <w:color w:val="000000"/>
          <w:sz w:val="28"/>
          <w:szCs w:val="28"/>
        </w:rPr>
        <w:t>2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435CAC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Wideolaryngoskop neonatologiczny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Kolorowy ekran 3,5”, rozdzielczość 640x480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Wbudowany akumulator litowo-jonowy, w komplecie zasilacz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Czas pracy po pełnym naładowaniu akumulatora: min. 2h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jc w:val="both"/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Możliwość obracania monitora w dwóch płaszczyznach (lewo/prawo: 270°, góra/dół: 120°)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jc w:val="both"/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Możliwość rejestracji zdjęć i filmów, pamięć 4GB (3500 zdjęć lub 2h wideo)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Możliwość transferu zarejestrowanych zdjęć i filmów do komputera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Kamera CMOS: 2 Mpixele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Źródło światła: dioda LED: min. 800 lux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jc w:val="both"/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Funkcja anti-fog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Wbudowany port MicroUSB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 xml:space="preserve">W komplecie łyżki </w:t>
            </w:r>
            <w:r w:rsidR="00A14841">
              <w:rPr>
                <w:sz w:val="20"/>
                <w:szCs w:val="20"/>
              </w:rPr>
              <w:t xml:space="preserve">wielokrotnego użytku, przeznaczone do sterylizacji </w:t>
            </w:r>
            <w:r w:rsidRPr="00435CAC">
              <w:rPr>
                <w:sz w:val="20"/>
                <w:szCs w:val="20"/>
              </w:rPr>
              <w:t>w rozmiarach Mill 00 – 1szt., Mill 0 – 1 szt., Mill 1 – 1 szt.</w:t>
            </w:r>
          </w:p>
          <w:p w:rsidR="00A14841" w:rsidRPr="00435CAC" w:rsidRDefault="00A14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(Dodatkowo 3 kpl. łyżek)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spacing w:after="240"/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Łyżki metalowe, wielorazowe do sterylizacji (moczenie w płynach dezynfekcyjnych, sterylizacja niskotemperaturowa: gaz lub plazma)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56EA4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803887" w:rsidRPr="00056EA4" w:rsidRDefault="000E03EC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56EA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A45D2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A45D2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A45D2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A45D2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A45D2" w:rsidRDefault="00803887" w:rsidP="000E03EC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E03EC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0E03EC" w:rsidRPr="000E03EC">
              <w:rPr>
                <w:bCs/>
                <w:color w:val="000000" w:themeColor="text1"/>
                <w:sz w:val="20"/>
                <w:szCs w:val="20"/>
              </w:rPr>
              <w:t>3</w:t>
            </w:r>
            <w:r w:rsidRPr="000E03EC">
              <w:rPr>
                <w:bCs/>
                <w:color w:val="000000" w:themeColor="text1"/>
                <w:sz w:val="20"/>
                <w:szCs w:val="20"/>
              </w:rPr>
              <w:t xml:space="preserve"> dni </w:t>
            </w:r>
            <w:r w:rsidR="000E03EC" w:rsidRPr="000E03EC">
              <w:rPr>
                <w:bCs/>
                <w:color w:val="000000" w:themeColor="text1"/>
                <w:sz w:val="20"/>
                <w:szCs w:val="20"/>
              </w:rPr>
              <w:t>robocze</w:t>
            </w:r>
            <w:r w:rsidRPr="006B2AA4">
              <w:rPr>
                <w:bCs/>
                <w:color w:val="FF0000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A45D2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A45D2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0A45D2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A45D2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0A45D2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A45D2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740317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740317">
      <w:headerReference w:type="default" r:id="rId8"/>
      <w:footerReference w:type="default" r:id="rId9"/>
      <w:pgSz w:w="11909" w:h="16834" w:code="9"/>
      <w:pgMar w:top="1276" w:right="1440" w:bottom="1560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246D3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246D39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246D39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03EC"/>
    <w:rsid w:val="000E772C"/>
    <w:rsid w:val="00113218"/>
    <w:rsid w:val="001179DE"/>
    <w:rsid w:val="001B7673"/>
    <w:rsid w:val="001E1B58"/>
    <w:rsid w:val="00202367"/>
    <w:rsid w:val="00235980"/>
    <w:rsid w:val="00245E58"/>
    <w:rsid w:val="00246D39"/>
    <w:rsid w:val="00250652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7552D"/>
    <w:rsid w:val="00502EAA"/>
    <w:rsid w:val="005B01A3"/>
    <w:rsid w:val="005B2CA3"/>
    <w:rsid w:val="005C0E72"/>
    <w:rsid w:val="00643D60"/>
    <w:rsid w:val="00680466"/>
    <w:rsid w:val="00686BB4"/>
    <w:rsid w:val="006B2AA4"/>
    <w:rsid w:val="006B7093"/>
    <w:rsid w:val="006C2FC2"/>
    <w:rsid w:val="006D651C"/>
    <w:rsid w:val="00734213"/>
    <w:rsid w:val="00740317"/>
    <w:rsid w:val="00780811"/>
    <w:rsid w:val="007A0789"/>
    <w:rsid w:val="007A2099"/>
    <w:rsid w:val="007C0EB2"/>
    <w:rsid w:val="007C6200"/>
    <w:rsid w:val="00803887"/>
    <w:rsid w:val="00814D5F"/>
    <w:rsid w:val="00833C63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14841"/>
    <w:rsid w:val="00A22560"/>
    <w:rsid w:val="00A97885"/>
    <w:rsid w:val="00AA7B4F"/>
    <w:rsid w:val="00B63C4E"/>
    <w:rsid w:val="00C44B41"/>
    <w:rsid w:val="00C67F17"/>
    <w:rsid w:val="00C74BE7"/>
    <w:rsid w:val="00CC2F9C"/>
    <w:rsid w:val="00CF619B"/>
    <w:rsid w:val="00D14EBD"/>
    <w:rsid w:val="00D45A93"/>
    <w:rsid w:val="00DC0587"/>
    <w:rsid w:val="00DF26D7"/>
    <w:rsid w:val="00E20A4E"/>
    <w:rsid w:val="00E475B4"/>
    <w:rsid w:val="00E7477F"/>
    <w:rsid w:val="00EB7523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9</cp:revision>
  <cp:lastPrinted>2022-08-26T10:42:00Z</cp:lastPrinted>
  <dcterms:created xsi:type="dcterms:W3CDTF">2022-08-24T08:04:00Z</dcterms:created>
  <dcterms:modified xsi:type="dcterms:W3CDTF">2022-08-26T10:42:00Z</dcterms:modified>
</cp:coreProperties>
</file>